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9DB403" w14:textId="5E728847" w:rsidR="00ED2D2F" w:rsidRDefault="00ED2D2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7216" behindDoc="0" locked="0" layoutInCell="1" allowOverlap="1" wp14:anchorId="71CDEE5B" wp14:editId="79AC0C03">
            <wp:simplePos x="0" y="0"/>
            <wp:positionH relativeFrom="column">
              <wp:posOffset>-104775</wp:posOffset>
            </wp:positionH>
            <wp:positionV relativeFrom="paragraph">
              <wp:posOffset>-314325</wp:posOffset>
            </wp:positionV>
            <wp:extent cx="5466080" cy="1743075"/>
            <wp:effectExtent l="0" t="0" r="127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C244C" w14:textId="6AE3021A" w:rsidR="00ED2D2F" w:rsidRDefault="00ED2D2F"/>
    <w:p w14:paraId="21D49862" w14:textId="269334A7" w:rsidR="00ED2D2F" w:rsidRDefault="00ED2D2F"/>
    <w:p w14:paraId="7857B225" w14:textId="575A4095" w:rsidR="00ED2D2F" w:rsidRDefault="00ED2D2F"/>
    <w:p w14:paraId="3C6C79CF" w14:textId="2889C055" w:rsidR="00ED2D2F" w:rsidRDefault="00ED2D2F"/>
    <w:p w14:paraId="47A45751" w14:textId="06B6A17C" w:rsidR="00ED2D2F" w:rsidRDefault="00ED2D2F"/>
    <w:p w14:paraId="275DCA78" w14:textId="542D2ED1" w:rsidR="00ED2D2F" w:rsidRDefault="00ED2D2F"/>
    <w:p w14:paraId="6469DDDE" w14:textId="77777777" w:rsidR="00ED2D2F" w:rsidRDefault="00ED2D2F"/>
    <w:tbl>
      <w:tblPr>
        <w:tblStyle w:val="TableGrid"/>
        <w:tblW w:w="8516" w:type="dxa"/>
        <w:tblLook w:val="04A0" w:firstRow="1" w:lastRow="0" w:firstColumn="1" w:lastColumn="0" w:noHBand="0" w:noVBand="1"/>
      </w:tblPr>
      <w:tblGrid>
        <w:gridCol w:w="2144"/>
        <w:gridCol w:w="5442"/>
        <w:gridCol w:w="930"/>
      </w:tblGrid>
      <w:tr w:rsidR="009153AC" w14:paraId="0D1FCC90" w14:textId="77777777" w:rsidTr="00F16EED">
        <w:tc>
          <w:tcPr>
            <w:tcW w:w="8516" w:type="dxa"/>
            <w:gridSpan w:val="3"/>
          </w:tcPr>
          <w:p w14:paraId="61F9934C" w14:textId="7049E8BD" w:rsidR="00F16EED" w:rsidRPr="00ED2D2F" w:rsidRDefault="009153AC">
            <w:pPr>
              <w:rPr>
                <w:sz w:val="18"/>
                <w:szCs w:val="18"/>
              </w:rPr>
            </w:pPr>
            <w:r>
              <w:t xml:space="preserve">                   </w:t>
            </w:r>
            <w:r w:rsidR="00B2414D">
              <w:t xml:space="preserve">                         </w:t>
            </w:r>
          </w:p>
          <w:p w14:paraId="6C32AADF" w14:textId="05F10EAF" w:rsidR="009153AC" w:rsidRPr="00ED2D2F" w:rsidRDefault="009153AC" w:rsidP="00F16EED">
            <w:pPr>
              <w:jc w:val="center"/>
              <w:rPr>
                <w:b/>
                <w:sz w:val="36"/>
                <w:szCs w:val="36"/>
              </w:rPr>
            </w:pPr>
            <w:r w:rsidRPr="00ED2D2F">
              <w:rPr>
                <w:b/>
                <w:sz w:val="36"/>
                <w:szCs w:val="36"/>
              </w:rPr>
              <w:t>PPG</w:t>
            </w:r>
            <w:r w:rsidR="00B2414D" w:rsidRPr="00ED2D2F">
              <w:rPr>
                <w:b/>
                <w:sz w:val="36"/>
                <w:szCs w:val="36"/>
              </w:rPr>
              <w:t xml:space="preserve"> Minutes</w:t>
            </w:r>
          </w:p>
          <w:p w14:paraId="4C6D032E" w14:textId="3E94C412" w:rsidR="00F16EED" w:rsidRPr="00ED2D2F" w:rsidRDefault="00F16EED" w:rsidP="00F16EED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94017F" w14:paraId="0A13F707" w14:textId="77777777" w:rsidTr="00214DA2">
        <w:tc>
          <w:tcPr>
            <w:tcW w:w="2144" w:type="dxa"/>
          </w:tcPr>
          <w:p w14:paraId="7E75E0EB" w14:textId="77777777" w:rsidR="00F16EED" w:rsidRDefault="00F16EED">
            <w:pPr>
              <w:rPr>
                <w:b/>
              </w:rPr>
            </w:pPr>
          </w:p>
          <w:p w14:paraId="17F7636B" w14:textId="1BE01442" w:rsidR="009153AC" w:rsidRPr="00B2414D" w:rsidRDefault="009153AC">
            <w:pPr>
              <w:rPr>
                <w:b/>
              </w:rPr>
            </w:pPr>
            <w:r w:rsidRPr="00B2414D">
              <w:rPr>
                <w:b/>
              </w:rPr>
              <w:t>Meeting Date</w:t>
            </w:r>
          </w:p>
        </w:tc>
        <w:tc>
          <w:tcPr>
            <w:tcW w:w="6372" w:type="dxa"/>
            <w:gridSpan w:val="2"/>
          </w:tcPr>
          <w:p w14:paraId="16328C38" w14:textId="77777777" w:rsidR="00F16EED" w:rsidRDefault="00F16EED"/>
          <w:p w14:paraId="214FEF6A" w14:textId="38F0FB12" w:rsidR="009153AC" w:rsidRDefault="002620FD">
            <w:r>
              <w:t>18</w:t>
            </w:r>
            <w:r w:rsidRPr="002620FD">
              <w:rPr>
                <w:vertAlign w:val="superscript"/>
              </w:rPr>
              <w:t>th</w:t>
            </w:r>
            <w:r>
              <w:t xml:space="preserve"> November </w:t>
            </w:r>
            <w:r w:rsidR="00AC6DD2">
              <w:t>2019</w:t>
            </w:r>
          </w:p>
          <w:p w14:paraId="08ADAEB4" w14:textId="233AC979" w:rsidR="00F16EED" w:rsidRDefault="00F16EED"/>
        </w:tc>
      </w:tr>
      <w:tr w:rsidR="0094017F" w14:paraId="70B8525C" w14:textId="77777777" w:rsidTr="00214DA2">
        <w:tc>
          <w:tcPr>
            <w:tcW w:w="2144" w:type="dxa"/>
          </w:tcPr>
          <w:p w14:paraId="329FD26A" w14:textId="77777777" w:rsidR="00F16EED" w:rsidRDefault="00F16EED">
            <w:pPr>
              <w:rPr>
                <w:b/>
              </w:rPr>
            </w:pPr>
          </w:p>
          <w:p w14:paraId="2EFDDF92" w14:textId="77777777" w:rsidR="009153AC" w:rsidRDefault="009153AC">
            <w:pPr>
              <w:rPr>
                <w:b/>
              </w:rPr>
            </w:pPr>
            <w:r w:rsidRPr="00B2414D">
              <w:rPr>
                <w:b/>
              </w:rPr>
              <w:t>Present</w:t>
            </w:r>
          </w:p>
          <w:p w14:paraId="3AF86D88" w14:textId="20B3DBA4" w:rsidR="00F16EED" w:rsidRPr="00B2414D" w:rsidRDefault="00F16EED">
            <w:pPr>
              <w:rPr>
                <w:b/>
              </w:rPr>
            </w:pPr>
          </w:p>
        </w:tc>
        <w:tc>
          <w:tcPr>
            <w:tcW w:w="6372" w:type="dxa"/>
            <w:gridSpan w:val="2"/>
          </w:tcPr>
          <w:p w14:paraId="518A7BFB" w14:textId="1031895C" w:rsidR="00F16EED" w:rsidRDefault="00AC6DD2" w:rsidP="00B2414D">
            <w:r>
              <w:t xml:space="preserve">I Skidmore, S </w:t>
            </w:r>
            <w:proofErr w:type="spellStart"/>
            <w:r>
              <w:t>Otty</w:t>
            </w:r>
            <w:proofErr w:type="spellEnd"/>
            <w:r w:rsidR="00FF1992">
              <w:t>,</w:t>
            </w:r>
            <w:r>
              <w:t xml:space="preserve"> A Gillman-Smith, J </w:t>
            </w:r>
            <w:proofErr w:type="spellStart"/>
            <w:r>
              <w:t>Jacklin</w:t>
            </w:r>
            <w:proofErr w:type="spellEnd"/>
            <w:r>
              <w:t>, P Bridge</w:t>
            </w:r>
            <w:r w:rsidR="00FF1992">
              <w:t>,</w:t>
            </w:r>
            <w:r w:rsidR="00787730">
              <w:t xml:space="preserve"> </w:t>
            </w:r>
            <w:r>
              <w:t xml:space="preserve">L Boon, D Bell, R Aubrey, </w:t>
            </w:r>
            <w:r w:rsidR="00AF287C">
              <w:t xml:space="preserve">J Young, </w:t>
            </w:r>
            <w:r>
              <w:t>D Crossley</w:t>
            </w:r>
            <w:r w:rsidR="00FF1992">
              <w:t xml:space="preserve">, D. </w:t>
            </w:r>
            <w:proofErr w:type="spellStart"/>
            <w:r w:rsidR="00FF1992">
              <w:t>Shearley</w:t>
            </w:r>
            <w:proofErr w:type="spellEnd"/>
            <w:r w:rsidR="00FF1992">
              <w:t xml:space="preserve"> (welcomed as an observer), G. Lamb, J. Green, R. Walker</w:t>
            </w:r>
          </w:p>
          <w:p w14:paraId="2646C9C2" w14:textId="77777777" w:rsidR="00CC2005" w:rsidRDefault="00CC2005" w:rsidP="00B2414D"/>
          <w:p w14:paraId="04B6DE23" w14:textId="752DA073" w:rsidR="00CC2005" w:rsidRPr="00CC2005" w:rsidRDefault="00CC2005" w:rsidP="00B2414D">
            <w:r w:rsidRPr="00CC2005">
              <w:rPr>
                <w:rFonts w:ascii="Calibri" w:hAnsi="Calibri"/>
                <w:color w:val="500050"/>
                <w:shd w:val="clear" w:color="auto" w:fill="FFFFFF"/>
              </w:rPr>
              <w:t xml:space="preserve">Dr </w:t>
            </w:r>
            <w:proofErr w:type="spellStart"/>
            <w:r w:rsidRPr="00CC2005">
              <w:rPr>
                <w:rFonts w:ascii="Calibri" w:hAnsi="Calibri"/>
                <w:color w:val="500050"/>
                <w:shd w:val="clear" w:color="auto" w:fill="FFFFFF"/>
              </w:rPr>
              <w:t>Saiyeesh</w:t>
            </w:r>
            <w:proofErr w:type="spellEnd"/>
            <w:r w:rsidRPr="00CC2005">
              <w:rPr>
                <w:rFonts w:ascii="Calibri" w:hAnsi="Calibri"/>
                <w:color w:val="500050"/>
                <w:shd w:val="clear" w:color="auto" w:fill="FFFFFF"/>
              </w:rPr>
              <w:t xml:space="preserve"> </w:t>
            </w:r>
            <w:proofErr w:type="spellStart"/>
            <w:r w:rsidRPr="00CC2005">
              <w:rPr>
                <w:rFonts w:ascii="Calibri" w:hAnsi="Calibri"/>
                <w:color w:val="500050"/>
                <w:shd w:val="clear" w:color="auto" w:fill="FFFFFF"/>
              </w:rPr>
              <w:t>Maheswaran</w:t>
            </w:r>
            <w:proofErr w:type="spellEnd"/>
            <w:r>
              <w:rPr>
                <w:rFonts w:ascii="Calibri" w:hAnsi="Calibri"/>
                <w:color w:val="500050"/>
                <w:shd w:val="clear" w:color="auto" w:fill="FFFFFF"/>
              </w:rPr>
              <w:t xml:space="preserve"> in attendance for the first part of the meeting answering questions relating to the Practice Managers meeting notes </w:t>
            </w:r>
          </w:p>
          <w:p w14:paraId="6C9A2633" w14:textId="207D7B54" w:rsidR="00F16EED" w:rsidRPr="00174F36" w:rsidRDefault="00F16EED" w:rsidP="003D63F8">
            <w:pPr>
              <w:rPr>
                <w:color w:val="FF0000"/>
              </w:rPr>
            </w:pPr>
          </w:p>
        </w:tc>
      </w:tr>
      <w:tr w:rsidR="0094017F" w14:paraId="550C836B" w14:textId="77777777" w:rsidTr="00214DA2">
        <w:tc>
          <w:tcPr>
            <w:tcW w:w="2144" w:type="dxa"/>
          </w:tcPr>
          <w:p w14:paraId="013A89FE" w14:textId="77777777" w:rsidR="00F16EED" w:rsidRDefault="00F16EED">
            <w:pPr>
              <w:rPr>
                <w:b/>
              </w:rPr>
            </w:pPr>
          </w:p>
          <w:p w14:paraId="6A3C798C" w14:textId="48C323A0" w:rsidR="009153AC" w:rsidRPr="00B2414D" w:rsidRDefault="009153AC">
            <w:pPr>
              <w:rPr>
                <w:b/>
              </w:rPr>
            </w:pPr>
            <w:r w:rsidRPr="00B2414D">
              <w:rPr>
                <w:b/>
              </w:rPr>
              <w:t>Apologies</w:t>
            </w:r>
          </w:p>
        </w:tc>
        <w:tc>
          <w:tcPr>
            <w:tcW w:w="6372" w:type="dxa"/>
            <w:gridSpan w:val="2"/>
          </w:tcPr>
          <w:p w14:paraId="0D1823C4" w14:textId="77777777" w:rsidR="00787730" w:rsidRDefault="00787730"/>
          <w:p w14:paraId="2D0FDFE1" w14:textId="2E167C97" w:rsidR="009153AC" w:rsidRDefault="00FF1992" w:rsidP="00FF1992">
            <w:r>
              <w:t>L.</w:t>
            </w:r>
            <w:r w:rsidR="00AC6DD2">
              <w:t xml:space="preserve"> Watson</w:t>
            </w:r>
            <w:r w:rsidR="005860AD">
              <w:t>.</w:t>
            </w:r>
          </w:p>
        </w:tc>
      </w:tr>
      <w:tr w:rsidR="0094017F" w14:paraId="6E008019" w14:textId="77777777" w:rsidTr="00071855">
        <w:tc>
          <w:tcPr>
            <w:tcW w:w="2144" w:type="dxa"/>
          </w:tcPr>
          <w:p w14:paraId="5CF5FFC4" w14:textId="77777777" w:rsidR="00F16EED" w:rsidRDefault="00F16EED">
            <w:pPr>
              <w:rPr>
                <w:b/>
              </w:rPr>
            </w:pPr>
          </w:p>
          <w:p w14:paraId="5C1A810D" w14:textId="0B97E342" w:rsidR="009153AC" w:rsidRPr="00B2414D" w:rsidRDefault="009153AC">
            <w:pPr>
              <w:rPr>
                <w:b/>
              </w:rPr>
            </w:pPr>
            <w:r w:rsidRPr="00B2414D">
              <w:rPr>
                <w:b/>
              </w:rPr>
              <w:t>Agenda Item</w:t>
            </w:r>
          </w:p>
        </w:tc>
        <w:tc>
          <w:tcPr>
            <w:tcW w:w="5442" w:type="dxa"/>
          </w:tcPr>
          <w:p w14:paraId="1A547762" w14:textId="77777777" w:rsidR="00F16EED" w:rsidRDefault="00B2414D">
            <w:r>
              <w:t xml:space="preserve">                      </w:t>
            </w:r>
          </w:p>
          <w:p w14:paraId="7FD5C01D" w14:textId="6461E329" w:rsidR="009153AC" w:rsidRPr="00B2414D" w:rsidRDefault="009153AC" w:rsidP="00F16EED">
            <w:pPr>
              <w:jc w:val="center"/>
              <w:rPr>
                <w:b/>
              </w:rPr>
            </w:pPr>
            <w:r w:rsidRPr="00B2414D">
              <w:rPr>
                <w:b/>
              </w:rPr>
              <w:t>Notes</w:t>
            </w:r>
          </w:p>
        </w:tc>
        <w:tc>
          <w:tcPr>
            <w:tcW w:w="930" w:type="dxa"/>
          </w:tcPr>
          <w:p w14:paraId="5A61E314" w14:textId="77777777" w:rsidR="00F16EED" w:rsidRDefault="00B2414D">
            <w:pPr>
              <w:rPr>
                <w:b/>
              </w:rPr>
            </w:pPr>
            <w:r>
              <w:t xml:space="preserve">  </w:t>
            </w:r>
            <w:r w:rsidRPr="00B2414D">
              <w:rPr>
                <w:b/>
              </w:rPr>
              <w:t xml:space="preserve"> </w:t>
            </w:r>
          </w:p>
          <w:p w14:paraId="4638040F" w14:textId="3574BC20" w:rsidR="009153AC" w:rsidRPr="00B2414D" w:rsidRDefault="009153AC">
            <w:pPr>
              <w:rPr>
                <w:b/>
              </w:rPr>
            </w:pPr>
            <w:r w:rsidRPr="00B2414D">
              <w:rPr>
                <w:b/>
              </w:rPr>
              <w:t>Action</w:t>
            </w:r>
          </w:p>
        </w:tc>
      </w:tr>
      <w:tr w:rsidR="0094017F" w14:paraId="009B3DD4" w14:textId="77777777" w:rsidTr="00071855">
        <w:tc>
          <w:tcPr>
            <w:tcW w:w="2144" w:type="dxa"/>
          </w:tcPr>
          <w:p w14:paraId="243F3851" w14:textId="77777777" w:rsidR="00B2414D" w:rsidRDefault="00B2414D"/>
          <w:p w14:paraId="2860515F" w14:textId="389123B6" w:rsidR="009153AC" w:rsidRPr="00ED2D2F" w:rsidRDefault="00C2173A">
            <w:pPr>
              <w:rPr>
                <w:b/>
              </w:rPr>
            </w:pPr>
            <w:r w:rsidRPr="00ED2D2F">
              <w:rPr>
                <w:b/>
              </w:rPr>
              <w:t>Minutes</w:t>
            </w:r>
          </w:p>
          <w:p w14:paraId="121E6A1A" w14:textId="77777777" w:rsidR="00B2414D" w:rsidRDefault="00B2414D"/>
        </w:tc>
        <w:tc>
          <w:tcPr>
            <w:tcW w:w="5442" w:type="dxa"/>
          </w:tcPr>
          <w:p w14:paraId="059EE25A" w14:textId="77777777" w:rsidR="003A4C31" w:rsidRDefault="003A4C31"/>
          <w:p w14:paraId="2E37BB63" w14:textId="2209D1B7" w:rsidR="009153AC" w:rsidRDefault="00AC6DD2" w:rsidP="00FF1992">
            <w:r>
              <w:t xml:space="preserve">Minutes of the meeting of </w:t>
            </w:r>
            <w:r w:rsidR="00FF1992">
              <w:t>30</w:t>
            </w:r>
            <w:r w:rsidR="00FF1992" w:rsidRPr="00FF1992">
              <w:rPr>
                <w:vertAlign w:val="superscript"/>
              </w:rPr>
              <w:t>th</w:t>
            </w:r>
            <w:r w:rsidR="00FF1992">
              <w:t xml:space="preserve"> September 2019 </w:t>
            </w:r>
            <w:r>
              <w:t>were approved</w:t>
            </w:r>
            <w:r w:rsidR="00FF1992">
              <w:t>.</w:t>
            </w:r>
          </w:p>
        </w:tc>
        <w:tc>
          <w:tcPr>
            <w:tcW w:w="930" w:type="dxa"/>
          </w:tcPr>
          <w:p w14:paraId="2B1C8807" w14:textId="77777777" w:rsidR="009153AC" w:rsidRDefault="009153AC"/>
        </w:tc>
      </w:tr>
      <w:tr w:rsidR="00FF1992" w14:paraId="32CEDB3F" w14:textId="77777777" w:rsidTr="00071855">
        <w:trPr>
          <w:trHeight w:val="3109"/>
        </w:trPr>
        <w:tc>
          <w:tcPr>
            <w:tcW w:w="2144" w:type="dxa"/>
          </w:tcPr>
          <w:p w14:paraId="532D032B" w14:textId="44BDD677" w:rsidR="00FF1992" w:rsidRPr="00071855" w:rsidRDefault="00FF1992">
            <w:pPr>
              <w:rPr>
                <w:b/>
              </w:rPr>
            </w:pPr>
            <w:r w:rsidRPr="00071855">
              <w:rPr>
                <w:b/>
              </w:rPr>
              <w:t>Practice Managers Meeting</w:t>
            </w:r>
          </w:p>
        </w:tc>
        <w:tc>
          <w:tcPr>
            <w:tcW w:w="5442" w:type="dxa"/>
          </w:tcPr>
          <w:p w14:paraId="41D97BDE" w14:textId="77777777" w:rsidR="00FF1992" w:rsidRDefault="00FF1992">
            <w:r>
              <w:t>Notes from the meeting had been circulated highlighting some areas where the practice felt that the PPG could assist.</w:t>
            </w:r>
          </w:p>
          <w:p w14:paraId="5CD39B59" w14:textId="77777777" w:rsidR="00FF1992" w:rsidRDefault="00FF1992"/>
          <w:p w14:paraId="1B161AC1" w14:textId="77777777" w:rsidR="00FF1992" w:rsidRDefault="00FF1992">
            <w:r>
              <w:t>Two items were discussed in more detail – pneumococcal injections for the over 65’s.  It was agreed that this would be highlighted at the PPG table.  Recall criteria to be reviewed for invite letters.</w:t>
            </w:r>
          </w:p>
          <w:p w14:paraId="22EFB973" w14:textId="77777777" w:rsidR="00FF1992" w:rsidRDefault="00FF1992"/>
          <w:p w14:paraId="56A76CE3" w14:textId="47099478" w:rsidR="00FF1992" w:rsidRDefault="00FF1992">
            <w:r>
              <w:t xml:space="preserve">Long Term conditions review – again invitation letters are sent to those meeting criteria – </w:t>
            </w:r>
            <w:r w:rsidR="0060108E">
              <w:t xml:space="preserve">in particular </w:t>
            </w:r>
            <w:r>
              <w:t>COPD, Cardiovascular ailments.  To be subject of a magazine article and also feature on the PPG table.</w:t>
            </w:r>
          </w:p>
          <w:p w14:paraId="28C72E0F" w14:textId="77777777" w:rsidR="00FF1992" w:rsidRDefault="00FF1992"/>
          <w:p w14:paraId="7C3ED115" w14:textId="77777777" w:rsidR="00FF1992" w:rsidRDefault="00FF1992">
            <w:r>
              <w:t>Patients to be directed to the NHS Health Care website for reliable information (rather than random internet searches).</w:t>
            </w:r>
          </w:p>
          <w:p w14:paraId="32FEDD5A" w14:textId="77777777" w:rsidR="00FF1992" w:rsidRDefault="00FF1992"/>
          <w:p w14:paraId="00DF6982" w14:textId="07D3022B" w:rsidR="00FF1992" w:rsidRDefault="0060108E" w:rsidP="0060108E">
            <w:r>
              <w:lastRenderedPageBreak/>
              <w:t>Frailty</w:t>
            </w:r>
            <w:r w:rsidR="00FF1992">
              <w:t xml:space="preserve"> Checks – uptake for these has been low.  Ian to discuss with other PPG’s how they address this.  It was clarified that these are 30 minute appointments </w:t>
            </w:r>
            <w:r>
              <w:t xml:space="preserve">normally </w:t>
            </w:r>
            <w:r w:rsidR="00FF1992">
              <w:t xml:space="preserve">carried out by </w:t>
            </w:r>
            <w:r>
              <w:t xml:space="preserve">the </w:t>
            </w:r>
            <w:r w:rsidR="00FF1992">
              <w:t xml:space="preserve">specialist nursing team.  These can be difficult discussions </w:t>
            </w:r>
            <w:r w:rsidR="00D573E5">
              <w:t xml:space="preserve">as they cover long term planning for end of life etc.  It was reported that the surgery covers a number of care homes, and patients are approached by that method.  There was concern raised about the </w:t>
            </w:r>
            <w:r w:rsidR="00E7151D">
              <w:t xml:space="preserve">repetitive nature of long term </w:t>
            </w:r>
            <w:r w:rsidR="00D573E5">
              <w:t>planning reviews as the same questions are often asked by different agencies.  It was agreed that this was a pan NHS problem rather than practice specific and Ian would raise the issue at a CCG meeting.</w:t>
            </w:r>
          </w:p>
        </w:tc>
        <w:tc>
          <w:tcPr>
            <w:tcW w:w="930" w:type="dxa"/>
          </w:tcPr>
          <w:p w14:paraId="0457CA02" w14:textId="77777777" w:rsidR="00FF1992" w:rsidRDefault="00FF1992"/>
          <w:p w14:paraId="36ED5924" w14:textId="77777777" w:rsidR="00F402FE" w:rsidRDefault="00F402FE"/>
          <w:p w14:paraId="4A817D35" w14:textId="77777777" w:rsidR="00F402FE" w:rsidRDefault="00F402FE"/>
          <w:p w14:paraId="64AD4939" w14:textId="77777777" w:rsidR="00F402FE" w:rsidRDefault="00F402FE"/>
          <w:p w14:paraId="66DEE9EB" w14:textId="77777777" w:rsidR="00F402FE" w:rsidRDefault="00F402FE"/>
          <w:p w14:paraId="10C0D0E3" w14:textId="77777777" w:rsidR="00F402FE" w:rsidRDefault="00F402FE"/>
          <w:p w14:paraId="501A5940" w14:textId="77777777" w:rsidR="00F402FE" w:rsidRDefault="00F402FE"/>
          <w:p w14:paraId="1DDEBC5A" w14:textId="77777777" w:rsidR="00F402FE" w:rsidRDefault="00F402FE">
            <w:r>
              <w:t>DC</w:t>
            </w:r>
          </w:p>
          <w:p w14:paraId="00644A27" w14:textId="77777777" w:rsidR="00F402FE" w:rsidRDefault="00F402FE"/>
          <w:p w14:paraId="227D57B1" w14:textId="77777777" w:rsidR="00F402FE" w:rsidRDefault="00F402FE"/>
          <w:p w14:paraId="3D99EA82" w14:textId="77777777" w:rsidR="00F402FE" w:rsidRDefault="00F402FE"/>
          <w:p w14:paraId="54C650D8" w14:textId="77777777" w:rsidR="00F402FE" w:rsidRDefault="00F402FE">
            <w:r>
              <w:t>DC</w:t>
            </w:r>
          </w:p>
          <w:p w14:paraId="5DB1214C" w14:textId="77777777" w:rsidR="00F402FE" w:rsidRDefault="00F402FE"/>
          <w:p w14:paraId="6F57361A" w14:textId="77777777" w:rsidR="00F402FE" w:rsidRDefault="00F402FE"/>
          <w:p w14:paraId="7FC366F2" w14:textId="77777777" w:rsidR="00F402FE" w:rsidRDefault="00F402FE"/>
          <w:p w14:paraId="06515A83" w14:textId="77777777" w:rsidR="00F402FE" w:rsidRDefault="00F402FE"/>
          <w:p w14:paraId="7A0A0C28" w14:textId="77777777" w:rsidR="00F402FE" w:rsidRDefault="00F402FE"/>
          <w:p w14:paraId="6E81600D" w14:textId="77777777" w:rsidR="00F402FE" w:rsidRDefault="00F402FE"/>
          <w:p w14:paraId="744EC6C9" w14:textId="77777777" w:rsidR="00F402FE" w:rsidRDefault="00F402FE"/>
          <w:p w14:paraId="0D2CF4CC" w14:textId="77777777" w:rsidR="00F402FE" w:rsidRDefault="00F402FE"/>
          <w:p w14:paraId="10B7FF9E" w14:textId="77777777" w:rsidR="00F402FE" w:rsidRDefault="00F402FE">
            <w:r>
              <w:lastRenderedPageBreak/>
              <w:t>IS</w:t>
            </w:r>
          </w:p>
          <w:p w14:paraId="17764D81" w14:textId="77777777" w:rsidR="00F402FE" w:rsidRDefault="00F402FE"/>
          <w:p w14:paraId="6FEF9283" w14:textId="77777777" w:rsidR="00F402FE" w:rsidRDefault="00F402FE"/>
          <w:p w14:paraId="54D49D41" w14:textId="77777777" w:rsidR="00F402FE" w:rsidRDefault="00F402FE"/>
          <w:p w14:paraId="7BA1B594" w14:textId="77777777" w:rsidR="00F402FE" w:rsidRDefault="00F402FE"/>
          <w:p w14:paraId="05BFEF59" w14:textId="77777777" w:rsidR="00F402FE" w:rsidRDefault="00F402FE"/>
          <w:p w14:paraId="2F4DD11F" w14:textId="77777777" w:rsidR="00F402FE" w:rsidRDefault="00F402FE"/>
          <w:p w14:paraId="575C570B" w14:textId="77777777" w:rsidR="00F402FE" w:rsidRDefault="00F402FE"/>
          <w:p w14:paraId="0C843776" w14:textId="77777777" w:rsidR="00F402FE" w:rsidRDefault="00F402FE"/>
          <w:p w14:paraId="47506403" w14:textId="77777777" w:rsidR="00F402FE" w:rsidRDefault="00F402FE"/>
          <w:p w14:paraId="72199F21" w14:textId="77777777" w:rsidR="00F402FE" w:rsidRDefault="00F402FE"/>
          <w:p w14:paraId="5BFA9F3C" w14:textId="77777777" w:rsidR="00F402FE" w:rsidRDefault="00F402FE"/>
          <w:p w14:paraId="38BBB05E" w14:textId="77777777" w:rsidR="00F402FE" w:rsidRDefault="00F402FE"/>
          <w:p w14:paraId="1369CB63" w14:textId="77777777" w:rsidR="00F402FE" w:rsidRDefault="00F402FE">
            <w:r>
              <w:t>IS</w:t>
            </w:r>
          </w:p>
          <w:p w14:paraId="5CAC4225" w14:textId="77777777" w:rsidR="00F402FE" w:rsidRDefault="00F402FE"/>
          <w:p w14:paraId="15DF4E63" w14:textId="77777777" w:rsidR="00F402FE" w:rsidRDefault="00F402FE"/>
        </w:tc>
      </w:tr>
      <w:tr w:rsidR="00AC6DD2" w14:paraId="248CB57A" w14:textId="77777777" w:rsidTr="00071855">
        <w:trPr>
          <w:trHeight w:val="880"/>
        </w:trPr>
        <w:tc>
          <w:tcPr>
            <w:tcW w:w="2144" w:type="dxa"/>
          </w:tcPr>
          <w:p w14:paraId="5E9F93DA" w14:textId="57727396" w:rsidR="00AC6DD2" w:rsidRDefault="00AC6DD2"/>
          <w:p w14:paraId="2AF807FC" w14:textId="77777777" w:rsidR="00AC6DD2" w:rsidRPr="00ED2D2F" w:rsidRDefault="00AC6DD2">
            <w:pPr>
              <w:rPr>
                <w:b/>
              </w:rPr>
            </w:pPr>
            <w:r w:rsidRPr="00ED2D2F">
              <w:rPr>
                <w:b/>
              </w:rPr>
              <w:t>Matters Arising</w:t>
            </w:r>
          </w:p>
        </w:tc>
        <w:tc>
          <w:tcPr>
            <w:tcW w:w="5442" w:type="dxa"/>
          </w:tcPr>
          <w:p w14:paraId="0857222C" w14:textId="77777777" w:rsidR="00AC6DD2" w:rsidRDefault="00AC6DD2"/>
          <w:p w14:paraId="6BE06E7E" w14:textId="1BFBD548" w:rsidR="00D573E5" w:rsidRDefault="00D573E5">
            <w:r>
              <w:t>There were none</w:t>
            </w:r>
          </w:p>
          <w:p w14:paraId="607648E5" w14:textId="60A3CB3A" w:rsidR="00AC6DD2" w:rsidRDefault="00AC6DD2" w:rsidP="00D573E5"/>
        </w:tc>
        <w:tc>
          <w:tcPr>
            <w:tcW w:w="930" w:type="dxa"/>
          </w:tcPr>
          <w:p w14:paraId="34D75B6C" w14:textId="77777777" w:rsidR="00AC6DD2" w:rsidRDefault="00AC6DD2"/>
          <w:p w14:paraId="0DDAF8F0" w14:textId="7AF14F5A" w:rsidR="00AC6DD2" w:rsidRPr="007C49F3" w:rsidRDefault="00AC6DD2" w:rsidP="003A4C31">
            <w:pPr>
              <w:rPr>
                <w:b/>
              </w:rPr>
            </w:pPr>
          </w:p>
        </w:tc>
      </w:tr>
      <w:tr w:rsidR="00AC6DD2" w14:paraId="756FCD02" w14:textId="77777777" w:rsidTr="00071855">
        <w:trPr>
          <w:trHeight w:val="1833"/>
        </w:trPr>
        <w:tc>
          <w:tcPr>
            <w:tcW w:w="2144" w:type="dxa"/>
          </w:tcPr>
          <w:p w14:paraId="54795802" w14:textId="77777777" w:rsidR="00AC6DD2" w:rsidRDefault="00AC6DD2" w:rsidP="00AC6DD2"/>
          <w:p w14:paraId="0AF9B3CE" w14:textId="15085029" w:rsidR="00AC6DD2" w:rsidRDefault="00AC6DD2" w:rsidP="00D573E5">
            <w:r w:rsidRPr="002944EB">
              <w:rPr>
                <w:b/>
              </w:rPr>
              <w:t>P</w:t>
            </w:r>
            <w:r w:rsidR="00D573E5">
              <w:rPr>
                <w:b/>
              </w:rPr>
              <w:t xml:space="preserve">rimary Care Networks – General update </w:t>
            </w:r>
          </w:p>
        </w:tc>
        <w:tc>
          <w:tcPr>
            <w:tcW w:w="5442" w:type="dxa"/>
          </w:tcPr>
          <w:p w14:paraId="72F6BBEA" w14:textId="77777777" w:rsidR="00AC6DD2" w:rsidRDefault="00AC6DD2" w:rsidP="003D63F8"/>
          <w:p w14:paraId="2731E83A" w14:textId="39C77385" w:rsidR="00D573E5" w:rsidRDefault="00D573E5" w:rsidP="003D63F8">
            <w:r>
              <w:t>We/the practice will not have any firm information about how this will be taken forward until at least January, but in the meantime, the status quo will remain until April.</w:t>
            </w:r>
          </w:p>
          <w:p w14:paraId="28738F7F" w14:textId="75611439" w:rsidR="00AF287C" w:rsidRDefault="00AF287C" w:rsidP="00D573E5"/>
        </w:tc>
        <w:tc>
          <w:tcPr>
            <w:tcW w:w="930" w:type="dxa"/>
          </w:tcPr>
          <w:p w14:paraId="0E1B1D7C" w14:textId="77777777" w:rsidR="00AC6DD2" w:rsidRDefault="00AC6DD2"/>
          <w:p w14:paraId="4146CED3" w14:textId="77777777" w:rsidR="00AC6DD2" w:rsidRDefault="00AC6DD2"/>
          <w:p w14:paraId="53683510" w14:textId="77777777" w:rsidR="00AC6DD2" w:rsidRDefault="00AC6DD2" w:rsidP="003A4C31"/>
          <w:p w14:paraId="60D1B754" w14:textId="77777777" w:rsidR="00D15A73" w:rsidRDefault="00D15A73" w:rsidP="003A4C31"/>
          <w:p w14:paraId="6872EF40" w14:textId="77777777" w:rsidR="00D15A73" w:rsidRDefault="00D15A73" w:rsidP="003A4C31"/>
          <w:p w14:paraId="7454D4AC" w14:textId="29AF3960" w:rsidR="00AF287C" w:rsidRDefault="00AF287C" w:rsidP="003A4C31"/>
        </w:tc>
      </w:tr>
      <w:tr w:rsidR="00AF287C" w14:paraId="133E533D" w14:textId="77777777" w:rsidTr="00071855">
        <w:trPr>
          <w:trHeight w:val="1559"/>
        </w:trPr>
        <w:tc>
          <w:tcPr>
            <w:tcW w:w="2144" w:type="dxa"/>
          </w:tcPr>
          <w:p w14:paraId="1A05F48A" w14:textId="5DCC71B5" w:rsidR="00AF287C" w:rsidRDefault="00AF287C" w:rsidP="00AC6DD2"/>
          <w:p w14:paraId="740132DC" w14:textId="2B916D0F" w:rsidR="00AF287C" w:rsidRDefault="006D7190" w:rsidP="00AC6DD2">
            <w:r>
              <w:rPr>
                <w:b/>
              </w:rPr>
              <w:t>Primary C</w:t>
            </w:r>
            <w:r w:rsidR="00AF287C" w:rsidRPr="002944EB">
              <w:rPr>
                <w:b/>
              </w:rPr>
              <w:t>are</w:t>
            </w:r>
            <w:r w:rsidR="00AF287C">
              <w:t xml:space="preserve"> </w:t>
            </w:r>
            <w:r w:rsidR="00AF287C" w:rsidRPr="002944EB">
              <w:rPr>
                <w:b/>
              </w:rPr>
              <w:t>Networks</w:t>
            </w:r>
          </w:p>
        </w:tc>
        <w:tc>
          <w:tcPr>
            <w:tcW w:w="5442" w:type="dxa"/>
          </w:tcPr>
          <w:p w14:paraId="3176F3A4" w14:textId="77777777" w:rsidR="00AF287C" w:rsidRDefault="00AF287C" w:rsidP="003D63F8"/>
          <w:p w14:paraId="48A87A09" w14:textId="77777777" w:rsidR="00D573E5" w:rsidRDefault="00D573E5" w:rsidP="00D573E5">
            <w:r>
              <w:t xml:space="preserve">The new Clinical Director is </w:t>
            </w:r>
            <w:proofErr w:type="spellStart"/>
            <w:r>
              <w:t>Dr.</w:t>
            </w:r>
            <w:proofErr w:type="spellEnd"/>
            <w:r>
              <w:t xml:space="preserve"> Gilham from </w:t>
            </w:r>
            <w:proofErr w:type="spellStart"/>
            <w:r>
              <w:t>Peartree</w:t>
            </w:r>
            <w:proofErr w:type="spellEnd"/>
            <w:r>
              <w:t xml:space="preserve"> Surgery.</w:t>
            </w:r>
          </w:p>
          <w:p w14:paraId="025E8A6F" w14:textId="77777777" w:rsidR="00D573E5" w:rsidRDefault="00D573E5" w:rsidP="00D573E5"/>
          <w:p w14:paraId="730AC18B" w14:textId="7FF16BA8" w:rsidR="00D573E5" w:rsidRDefault="00D573E5" w:rsidP="00D573E5">
            <w:r>
              <w:t xml:space="preserve">The Clinical Pharmacist is now in place at Bridge Cottage and </w:t>
            </w:r>
            <w:proofErr w:type="spellStart"/>
            <w:r>
              <w:t>Peartree</w:t>
            </w:r>
            <w:proofErr w:type="spellEnd"/>
            <w:r>
              <w:t xml:space="preserve"> are looking into this.  </w:t>
            </w:r>
          </w:p>
          <w:p w14:paraId="6D0909FF" w14:textId="4BE2544F" w:rsidR="00E61832" w:rsidRPr="006D7190" w:rsidRDefault="00D573E5" w:rsidP="003D63F8">
            <w:r>
              <w:t xml:space="preserve">IS and SO have met with representatives from </w:t>
            </w:r>
            <w:proofErr w:type="spellStart"/>
            <w:r>
              <w:t>Peartree</w:t>
            </w:r>
            <w:proofErr w:type="spellEnd"/>
            <w:r>
              <w:t xml:space="preserve"> to share information/best practice.</w:t>
            </w:r>
            <w:r w:rsidR="00110B4B">
              <w:t xml:space="preserve"> We have invited one of their members to </w:t>
            </w:r>
            <w:proofErr w:type="gramStart"/>
            <w:r w:rsidR="00110B4B">
              <w:t>attend  a</w:t>
            </w:r>
            <w:proofErr w:type="gramEnd"/>
            <w:r w:rsidR="00110B4B">
              <w:t xml:space="preserve"> meeting as an observer and have been invited to their next meeting for the same  purpose. This will be in January.</w:t>
            </w:r>
          </w:p>
        </w:tc>
        <w:tc>
          <w:tcPr>
            <w:tcW w:w="930" w:type="dxa"/>
          </w:tcPr>
          <w:p w14:paraId="0FF2B9EF" w14:textId="77777777" w:rsidR="00AF287C" w:rsidRDefault="00AF287C" w:rsidP="003A4C31"/>
          <w:p w14:paraId="6DD3CDD4" w14:textId="77777777" w:rsidR="00AF287C" w:rsidRDefault="00AF287C" w:rsidP="003A4C31"/>
          <w:p w14:paraId="0ED16C8F" w14:textId="718C2D35" w:rsidR="00AF287C" w:rsidRDefault="00AF287C" w:rsidP="003A4C31">
            <w:r>
              <w:t>DC.</w:t>
            </w:r>
          </w:p>
        </w:tc>
      </w:tr>
      <w:tr w:rsidR="00AF287C" w14:paraId="70BCFDFF" w14:textId="77777777" w:rsidTr="00071855">
        <w:trPr>
          <w:trHeight w:val="1686"/>
        </w:trPr>
        <w:tc>
          <w:tcPr>
            <w:tcW w:w="2144" w:type="dxa"/>
          </w:tcPr>
          <w:p w14:paraId="4C91AB4A" w14:textId="77777777" w:rsidR="00AF287C" w:rsidRDefault="00AF287C" w:rsidP="00AC6DD2"/>
          <w:p w14:paraId="5EC03C59" w14:textId="0B651006" w:rsidR="00AF287C" w:rsidRPr="002944EB" w:rsidRDefault="00AF287C" w:rsidP="00AC6DD2">
            <w:pPr>
              <w:rPr>
                <w:b/>
              </w:rPr>
            </w:pPr>
            <w:r w:rsidRPr="002944EB">
              <w:rPr>
                <w:b/>
              </w:rPr>
              <w:t>Long term Conditions Strategy</w:t>
            </w:r>
          </w:p>
        </w:tc>
        <w:tc>
          <w:tcPr>
            <w:tcW w:w="5442" w:type="dxa"/>
          </w:tcPr>
          <w:p w14:paraId="3F247D5D" w14:textId="77777777" w:rsidR="00AF287C" w:rsidRDefault="00AF287C" w:rsidP="003D63F8"/>
          <w:p w14:paraId="3C498AF3" w14:textId="77777777" w:rsidR="00D573E5" w:rsidRDefault="00D573E5" w:rsidP="00D573E5">
            <w:r>
              <w:t xml:space="preserve">RW attended the meeting on </w:t>
            </w:r>
            <w:r w:rsidR="00AF287C">
              <w:t>23</w:t>
            </w:r>
            <w:r w:rsidR="00AF287C" w:rsidRPr="00AF287C">
              <w:rPr>
                <w:vertAlign w:val="superscript"/>
              </w:rPr>
              <w:t>rd</w:t>
            </w:r>
            <w:r w:rsidR="00AF287C">
              <w:t xml:space="preserve"> October.</w:t>
            </w:r>
            <w:r>
              <w:t xml:space="preserve"> </w:t>
            </w:r>
          </w:p>
          <w:p w14:paraId="6149EE9B" w14:textId="77777777" w:rsidR="00D573E5" w:rsidRDefault="00D573E5" w:rsidP="00D573E5"/>
          <w:p w14:paraId="0FD81E0B" w14:textId="32FA3BA5" w:rsidR="00AF287C" w:rsidRDefault="00D573E5" w:rsidP="001835B0">
            <w:r>
              <w:t xml:space="preserve">Strategy will concentrate on Shared </w:t>
            </w:r>
            <w:r w:rsidR="00E7151D">
              <w:t>D</w:t>
            </w:r>
            <w:r>
              <w:t xml:space="preserve">ecision </w:t>
            </w:r>
            <w:r w:rsidR="00E7151D">
              <w:t>M</w:t>
            </w:r>
            <w:r>
              <w:t xml:space="preserve">aking, self management, life style changes, social prescribing and the Dr/Patient relationship.  The full report should be issued early next year. </w:t>
            </w:r>
            <w:r w:rsidR="00C8761E">
              <w:t xml:space="preserve"> There will have to be prioritisation for this to be successful.</w:t>
            </w:r>
          </w:p>
        </w:tc>
        <w:tc>
          <w:tcPr>
            <w:tcW w:w="930" w:type="dxa"/>
          </w:tcPr>
          <w:p w14:paraId="77319794" w14:textId="77777777" w:rsidR="00AF287C" w:rsidRDefault="00AF287C" w:rsidP="00AF287C"/>
          <w:p w14:paraId="71053B33" w14:textId="4490F6FC" w:rsidR="002C467D" w:rsidRDefault="002C467D" w:rsidP="00AF287C">
            <w:r>
              <w:t>RW/IS</w:t>
            </w:r>
          </w:p>
        </w:tc>
      </w:tr>
      <w:tr w:rsidR="001835B0" w14:paraId="181D23CD" w14:textId="77777777" w:rsidTr="00F402FE">
        <w:trPr>
          <w:trHeight w:val="416"/>
        </w:trPr>
        <w:tc>
          <w:tcPr>
            <w:tcW w:w="2144" w:type="dxa"/>
          </w:tcPr>
          <w:p w14:paraId="3BE3898C" w14:textId="30F336E1" w:rsidR="001835B0" w:rsidRPr="00071855" w:rsidRDefault="001835B0" w:rsidP="00AC6DD2">
            <w:pPr>
              <w:rPr>
                <w:b/>
              </w:rPr>
            </w:pPr>
            <w:r w:rsidRPr="00071855">
              <w:rPr>
                <w:b/>
              </w:rPr>
              <w:t>Cancel Out Cancer</w:t>
            </w:r>
          </w:p>
        </w:tc>
        <w:tc>
          <w:tcPr>
            <w:tcW w:w="5442" w:type="dxa"/>
          </w:tcPr>
          <w:p w14:paraId="232088FE" w14:textId="520702B8" w:rsidR="001835B0" w:rsidRDefault="001835B0" w:rsidP="001835B0">
            <w:r>
              <w:t xml:space="preserve">Ian put forward a proposal that this should be treated as a Community initiative and he proposed </w:t>
            </w:r>
            <w:r>
              <w:lastRenderedPageBreak/>
              <w:t xml:space="preserve">that he contact the </w:t>
            </w:r>
            <w:r w:rsidR="00E7151D">
              <w:t>P</w:t>
            </w:r>
            <w:r>
              <w:t xml:space="preserve">arish </w:t>
            </w:r>
            <w:r w:rsidR="00E7151D">
              <w:t>C</w:t>
            </w:r>
            <w:r>
              <w:t xml:space="preserve">ouncil who should be able to provide a venue and help with communication of the event.  This should also include </w:t>
            </w:r>
            <w:proofErr w:type="spellStart"/>
            <w:r>
              <w:t>Kimpton</w:t>
            </w:r>
            <w:proofErr w:type="spellEnd"/>
            <w:r>
              <w:t xml:space="preserve">, </w:t>
            </w:r>
            <w:proofErr w:type="spellStart"/>
            <w:r>
              <w:t>Codicote</w:t>
            </w:r>
            <w:proofErr w:type="spellEnd"/>
            <w:r>
              <w:t xml:space="preserve"> and Digswell.  Pat Bridge and Deborah </w:t>
            </w:r>
            <w:proofErr w:type="spellStart"/>
            <w:r>
              <w:t>Shearley</w:t>
            </w:r>
            <w:proofErr w:type="spellEnd"/>
            <w:r>
              <w:t xml:space="preserve"> volunteered to help with contacts at </w:t>
            </w:r>
            <w:proofErr w:type="spellStart"/>
            <w:r>
              <w:t>Kimpton</w:t>
            </w:r>
            <w:proofErr w:type="spellEnd"/>
            <w:r>
              <w:t xml:space="preserve"> and </w:t>
            </w:r>
            <w:proofErr w:type="spellStart"/>
            <w:r>
              <w:t>Codicote</w:t>
            </w:r>
            <w:proofErr w:type="spellEnd"/>
            <w:r>
              <w:t xml:space="preserve"> Parish Councils.</w:t>
            </w:r>
          </w:p>
        </w:tc>
        <w:tc>
          <w:tcPr>
            <w:tcW w:w="930" w:type="dxa"/>
          </w:tcPr>
          <w:p w14:paraId="3234368A" w14:textId="77777777" w:rsidR="001835B0" w:rsidRDefault="001835B0" w:rsidP="00AF287C"/>
        </w:tc>
      </w:tr>
      <w:tr w:rsidR="007C49F3" w14:paraId="68475A94" w14:textId="77777777" w:rsidTr="00071855">
        <w:trPr>
          <w:trHeight w:val="2380"/>
        </w:trPr>
        <w:tc>
          <w:tcPr>
            <w:tcW w:w="2144" w:type="dxa"/>
          </w:tcPr>
          <w:p w14:paraId="04DCF748" w14:textId="6C645CD3" w:rsidR="007C49F3" w:rsidRDefault="007C49F3" w:rsidP="007C49F3"/>
          <w:p w14:paraId="086002E2" w14:textId="77777777" w:rsidR="007C49F3" w:rsidRPr="002944EB" w:rsidRDefault="002C467D" w:rsidP="003D63F8">
            <w:pPr>
              <w:rPr>
                <w:b/>
              </w:rPr>
            </w:pPr>
            <w:r w:rsidRPr="002944EB">
              <w:rPr>
                <w:b/>
              </w:rPr>
              <w:t>Communications:</w:t>
            </w:r>
          </w:p>
          <w:p w14:paraId="572761AB" w14:textId="77777777" w:rsidR="002C467D" w:rsidRPr="002944EB" w:rsidRDefault="002C467D" w:rsidP="003D63F8">
            <w:pPr>
              <w:rPr>
                <w:b/>
              </w:rPr>
            </w:pPr>
          </w:p>
          <w:p w14:paraId="4FD44ACF" w14:textId="77777777" w:rsidR="002C467D" w:rsidRPr="002944EB" w:rsidRDefault="002C467D" w:rsidP="003D63F8">
            <w:pPr>
              <w:rPr>
                <w:b/>
              </w:rPr>
            </w:pPr>
            <w:r w:rsidRPr="002944EB">
              <w:rPr>
                <w:b/>
              </w:rPr>
              <w:t xml:space="preserve">  Thursday Table</w:t>
            </w:r>
          </w:p>
          <w:p w14:paraId="1E46CADB" w14:textId="77777777" w:rsidR="002C467D" w:rsidRPr="002944EB" w:rsidRDefault="002C467D" w:rsidP="003D63F8">
            <w:pPr>
              <w:rPr>
                <w:b/>
              </w:rPr>
            </w:pPr>
          </w:p>
          <w:p w14:paraId="077FFFC1" w14:textId="77777777" w:rsidR="004C7B90" w:rsidRDefault="002C467D" w:rsidP="003D63F8">
            <w:pPr>
              <w:rPr>
                <w:b/>
              </w:rPr>
            </w:pPr>
            <w:r w:rsidRPr="002944EB">
              <w:rPr>
                <w:b/>
              </w:rPr>
              <w:t xml:space="preserve">  </w:t>
            </w:r>
          </w:p>
          <w:p w14:paraId="4A762E56" w14:textId="77777777" w:rsidR="004C7B90" w:rsidRDefault="004C7B90" w:rsidP="003D63F8">
            <w:pPr>
              <w:rPr>
                <w:b/>
              </w:rPr>
            </w:pPr>
          </w:p>
          <w:p w14:paraId="1E6E71A3" w14:textId="77777777" w:rsidR="001835B0" w:rsidRDefault="002C467D" w:rsidP="003D63F8">
            <w:pPr>
              <w:rPr>
                <w:b/>
              </w:rPr>
            </w:pPr>
            <w:r w:rsidRPr="002944EB">
              <w:rPr>
                <w:b/>
              </w:rPr>
              <w:t xml:space="preserve"> </w:t>
            </w:r>
          </w:p>
          <w:p w14:paraId="3876463D" w14:textId="77777777" w:rsidR="001835B0" w:rsidRDefault="001835B0" w:rsidP="003D63F8">
            <w:pPr>
              <w:rPr>
                <w:b/>
              </w:rPr>
            </w:pPr>
          </w:p>
          <w:p w14:paraId="2C716EC6" w14:textId="77777777" w:rsidR="001835B0" w:rsidRDefault="001835B0" w:rsidP="003D63F8">
            <w:pPr>
              <w:rPr>
                <w:b/>
              </w:rPr>
            </w:pPr>
          </w:p>
          <w:p w14:paraId="16B368E4" w14:textId="77777777" w:rsidR="001835B0" w:rsidRDefault="001835B0" w:rsidP="003D63F8">
            <w:pPr>
              <w:rPr>
                <w:b/>
              </w:rPr>
            </w:pPr>
          </w:p>
          <w:p w14:paraId="7BCBA6D3" w14:textId="77777777" w:rsidR="001835B0" w:rsidRDefault="001835B0" w:rsidP="003D63F8">
            <w:pPr>
              <w:rPr>
                <w:b/>
              </w:rPr>
            </w:pPr>
          </w:p>
          <w:p w14:paraId="4ECBEF1A" w14:textId="77777777" w:rsidR="001835B0" w:rsidRDefault="001835B0" w:rsidP="003D63F8">
            <w:pPr>
              <w:rPr>
                <w:b/>
              </w:rPr>
            </w:pPr>
          </w:p>
          <w:p w14:paraId="00A09B6E" w14:textId="77777777" w:rsidR="001835B0" w:rsidRDefault="001835B0" w:rsidP="003D63F8">
            <w:pPr>
              <w:rPr>
                <w:b/>
              </w:rPr>
            </w:pPr>
          </w:p>
          <w:p w14:paraId="204F1961" w14:textId="77777777" w:rsidR="001835B0" w:rsidRDefault="001835B0" w:rsidP="003D63F8">
            <w:pPr>
              <w:rPr>
                <w:b/>
              </w:rPr>
            </w:pPr>
          </w:p>
          <w:p w14:paraId="4BFA3EF5" w14:textId="77777777" w:rsidR="00F402FE" w:rsidRDefault="00F402FE" w:rsidP="003D63F8">
            <w:pPr>
              <w:rPr>
                <w:b/>
              </w:rPr>
            </w:pPr>
          </w:p>
          <w:p w14:paraId="39372280" w14:textId="0E0A33EA" w:rsidR="002C467D" w:rsidRPr="002944EB" w:rsidRDefault="002C467D" w:rsidP="003D63F8">
            <w:pPr>
              <w:rPr>
                <w:b/>
              </w:rPr>
            </w:pPr>
            <w:r w:rsidRPr="002944EB">
              <w:rPr>
                <w:b/>
              </w:rPr>
              <w:t xml:space="preserve">Magazine  </w:t>
            </w:r>
          </w:p>
          <w:p w14:paraId="13335BF9" w14:textId="77777777" w:rsidR="002C467D" w:rsidRPr="002944EB" w:rsidRDefault="002C467D" w:rsidP="003D63F8">
            <w:pPr>
              <w:rPr>
                <w:b/>
              </w:rPr>
            </w:pPr>
          </w:p>
          <w:p w14:paraId="4F4A292B" w14:textId="77777777" w:rsidR="004C7B90" w:rsidRDefault="002C467D" w:rsidP="003D63F8">
            <w:pPr>
              <w:rPr>
                <w:b/>
              </w:rPr>
            </w:pPr>
            <w:r w:rsidRPr="002944EB">
              <w:rPr>
                <w:b/>
              </w:rPr>
              <w:t xml:space="preserve">  </w:t>
            </w:r>
          </w:p>
          <w:p w14:paraId="666314CE" w14:textId="77777777" w:rsidR="004C7B90" w:rsidRDefault="004C7B90" w:rsidP="003D63F8">
            <w:pPr>
              <w:rPr>
                <w:b/>
              </w:rPr>
            </w:pPr>
          </w:p>
          <w:p w14:paraId="02221136" w14:textId="77777777" w:rsidR="004C7B90" w:rsidRDefault="004C7B90" w:rsidP="003D63F8">
            <w:pPr>
              <w:rPr>
                <w:b/>
              </w:rPr>
            </w:pPr>
          </w:p>
          <w:p w14:paraId="6FFAE715" w14:textId="77777777" w:rsidR="004C7B90" w:rsidRDefault="004C7B90" w:rsidP="003D63F8">
            <w:pPr>
              <w:rPr>
                <w:b/>
              </w:rPr>
            </w:pPr>
          </w:p>
          <w:p w14:paraId="598E27E3" w14:textId="77777777" w:rsidR="00B61A0B" w:rsidRDefault="002C467D" w:rsidP="003D63F8">
            <w:pPr>
              <w:rPr>
                <w:b/>
              </w:rPr>
            </w:pPr>
            <w:r w:rsidRPr="002944EB">
              <w:rPr>
                <w:b/>
              </w:rPr>
              <w:t xml:space="preserve"> </w:t>
            </w:r>
          </w:p>
          <w:p w14:paraId="4B7DD263" w14:textId="77777777" w:rsidR="00B61A0B" w:rsidRDefault="00B61A0B" w:rsidP="003D63F8">
            <w:pPr>
              <w:rPr>
                <w:b/>
              </w:rPr>
            </w:pPr>
          </w:p>
          <w:p w14:paraId="34FD0ABD" w14:textId="77777777" w:rsidR="00B61A0B" w:rsidRDefault="00B61A0B" w:rsidP="003D63F8">
            <w:pPr>
              <w:rPr>
                <w:b/>
              </w:rPr>
            </w:pPr>
          </w:p>
          <w:p w14:paraId="6A91C847" w14:textId="77777777" w:rsidR="00B61A0B" w:rsidRDefault="00B61A0B" w:rsidP="003D63F8">
            <w:pPr>
              <w:rPr>
                <w:b/>
              </w:rPr>
            </w:pPr>
          </w:p>
          <w:p w14:paraId="75BD40E7" w14:textId="77777777" w:rsidR="00B61A0B" w:rsidRDefault="00B61A0B" w:rsidP="003D63F8">
            <w:pPr>
              <w:rPr>
                <w:b/>
              </w:rPr>
            </w:pPr>
          </w:p>
          <w:p w14:paraId="5975427D" w14:textId="77777777" w:rsidR="002944EB" w:rsidRDefault="002944EB" w:rsidP="003D63F8"/>
          <w:p w14:paraId="028492A0" w14:textId="77777777" w:rsidR="002944EB" w:rsidRPr="002944EB" w:rsidRDefault="002944EB" w:rsidP="003D63F8">
            <w:pPr>
              <w:rPr>
                <w:b/>
              </w:rPr>
            </w:pPr>
          </w:p>
          <w:p w14:paraId="1EC4C927" w14:textId="566B53E8" w:rsidR="002944EB" w:rsidRDefault="002944EB" w:rsidP="002944EB"/>
        </w:tc>
        <w:tc>
          <w:tcPr>
            <w:tcW w:w="5442" w:type="dxa"/>
          </w:tcPr>
          <w:p w14:paraId="0A12FFFF" w14:textId="77777777" w:rsidR="007C49F3" w:rsidRDefault="007C49F3" w:rsidP="00C2173A"/>
          <w:p w14:paraId="1189806D" w14:textId="77777777" w:rsidR="007C49F3" w:rsidRDefault="007C49F3" w:rsidP="003D63F8"/>
          <w:p w14:paraId="5CC91BC8" w14:textId="77777777" w:rsidR="00F402FE" w:rsidRDefault="00F402FE" w:rsidP="003D63F8"/>
          <w:p w14:paraId="65E17B9E" w14:textId="15279A1E" w:rsidR="001835B0" w:rsidRDefault="001835B0" w:rsidP="003D63F8">
            <w:r>
              <w:t>Next Table – 28</w:t>
            </w:r>
            <w:r w:rsidRPr="001835B0">
              <w:rPr>
                <w:vertAlign w:val="superscript"/>
              </w:rPr>
              <w:t>th</w:t>
            </w:r>
            <w:r>
              <w:t xml:space="preserve"> November – David and Ann have volunteered already.  IS to check stocks of leaflets and advise Debbie.  Leaflets to be included were pneumococcal and shingles.  Pat </w:t>
            </w:r>
            <w:r w:rsidR="00071855">
              <w:t>and n</w:t>
            </w:r>
            <w:r>
              <w:t>ew members/those who hadn’t done it before invited to attend as observers.  Should also include info on the U</w:t>
            </w:r>
            <w:r w:rsidR="00673B42">
              <w:t>rgent Care Centre??</w:t>
            </w:r>
            <w:r>
              <w:t>.</w:t>
            </w:r>
          </w:p>
          <w:p w14:paraId="771F3A44" w14:textId="30B33413" w:rsidR="001835B0" w:rsidRDefault="001835B0" w:rsidP="003D63F8">
            <w:r>
              <w:t xml:space="preserve"> </w:t>
            </w:r>
          </w:p>
          <w:p w14:paraId="040B3426" w14:textId="4A506854" w:rsidR="001835B0" w:rsidRDefault="001835B0" w:rsidP="003D63F8">
            <w:r>
              <w:t>December 12</w:t>
            </w:r>
            <w:r w:rsidRPr="001835B0">
              <w:rPr>
                <w:vertAlign w:val="superscript"/>
              </w:rPr>
              <w:t>th</w:t>
            </w:r>
            <w:r>
              <w:t xml:space="preserve"> – Ian and Sara to man the table.  Include info on Sepsis and Stroke.</w:t>
            </w:r>
          </w:p>
          <w:p w14:paraId="09BF4971" w14:textId="77777777" w:rsidR="001835B0" w:rsidRDefault="001835B0" w:rsidP="003D63F8"/>
          <w:p w14:paraId="332E4A65" w14:textId="4B530E90" w:rsidR="001835B0" w:rsidRDefault="001835B0" w:rsidP="003D63F8">
            <w:r>
              <w:t>January 23</w:t>
            </w:r>
            <w:r w:rsidRPr="001835B0">
              <w:rPr>
                <w:vertAlign w:val="superscript"/>
              </w:rPr>
              <w:t>rd</w:t>
            </w:r>
            <w:r>
              <w:t xml:space="preserve"> – next table – volunteers asked for</w:t>
            </w:r>
          </w:p>
          <w:p w14:paraId="4C6275D7" w14:textId="77777777" w:rsidR="001835B0" w:rsidRDefault="001835B0" w:rsidP="003D63F8"/>
          <w:p w14:paraId="22D305FB" w14:textId="72002F99" w:rsidR="001835B0" w:rsidRDefault="002C467D" w:rsidP="003D63F8">
            <w:r>
              <w:t xml:space="preserve">January </w:t>
            </w:r>
            <w:r w:rsidR="00071855">
              <w:t>w</w:t>
            </w:r>
            <w:r w:rsidR="001835B0">
              <w:t>ill feature</w:t>
            </w:r>
            <w:r w:rsidR="00071855">
              <w:t>:</w:t>
            </w:r>
            <w:r w:rsidR="001835B0">
              <w:t xml:space="preserve"> Clinical nurse, physiotherapy and pharmacist.</w:t>
            </w:r>
          </w:p>
          <w:p w14:paraId="569DE929" w14:textId="77777777" w:rsidR="001835B0" w:rsidRDefault="001835B0" w:rsidP="003D63F8"/>
          <w:p w14:paraId="0306BF76" w14:textId="1D79504D" w:rsidR="001835B0" w:rsidRDefault="001835B0" w:rsidP="003D63F8">
            <w:r>
              <w:t>February – Dementia</w:t>
            </w:r>
          </w:p>
          <w:p w14:paraId="520A5E02" w14:textId="77777777" w:rsidR="001835B0" w:rsidRDefault="001835B0" w:rsidP="003D63F8"/>
          <w:p w14:paraId="5512F2E5" w14:textId="77777777" w:rsidR="00B61A0B" w:rsidRDefault="001835B0" w:rsidP="003D63F8">
            <w:r>
              <w:t>March – Long Term Conditions Reviews.</w:t>
            </w:r>
          </w:p>
          <w:p w14:paraId="511CD116" w14:textId="77777777" w:rsidR="00B61A0B" w:rsidRDefault="00B61A0B" w:rsidP="003D63F8"/>
          <w:p w14:paraId="5D23F48C" w14:textId="5A4E0D7A" w:rsidR="002944EB" w:rsidRDefault="002944EB" w:rsidP="003D63F8">
            <w:r>
              <w:t>Communication remains a critical challenge and we need to look at using local newsletters</w:t>
            </w:r>
            <w:r w:rsidR="00B61A0B">
              <w:t xml:space="preserve"> and parish notice boards</w:t>
            </w:r>
            <w:r w:rsidR="00F402FE">
              <w:t xml:space="preserve"> (for example)</w:t>
            </w:r>
            <w:r w:rsidR="00B61A0B">
              <w:t xml:space="preserve"> – Pat and Deborah offered to facilitate leaflets in outlying districts – notice boards/pharmacies  etc.   Sara to send them magazine articles once finalised.</w:t>
            </w:r>
          </w:p>
          <w:p w14:paraId="7E659F07" w14:textId="6E7ED168" w:rsidR="002944EB" w:rsidRDefault="002944EB" w:rsidP="003D63F8"/>
        </w:tc>
        <w:tc>
          <w:tcPr>
            <w:tcW w:w="930" w:type="dxa"/>
          </w:tcPr>
          <w:p w14:paraId="0B016C20" w14:textId="77777777" w:rsidR="007C49F3" w:rsidRDefault="007C49F3" w:rsidP="007C49F3"/>
          <w:p w14:paraId="4E9E206D" w14:textId="77777777" w:rsidR="003D1B44" w:rsidRDefault="003D1B44" w:rsidP="007C49F3"/>
          <w:p w14:paraId="22F9FC08" w14:textId="77777777" w:rsidR="003D1B44" w:rsidRDefault="003D1B44" w:rsidP="007C49F3"/>
          <w:p w14:paraId="0C08C3F6" w14:textId="77777777" w:rsidR="003D1B44" w:rsidRDefault="003D1B44" w:rsidP="007C49F3"/>
          <w:p w14:paraId="415504E6" w14:textId="2A3B9CC7" w:rsidR="003D1B44" w:rsidRDefault="00F402FE" w:rsidP="007C49F3">
            <w:r>
              <w:t>IS</w:t>
            </w:r>
          </w:p>
          <w:p w14:paraId="7F67DE4E" w14:textId="77777777" w:rsidR="003D1B44" w:rsidRDefault="003D1B44" w:rsidP="007C49F3"/>
          <w:p w14:paraId="4EC84022" w14:textId="77777777" w:rsidR="00F402FE" w:rsidRDefault="00F402FE" w:rsidP="007C49F3"/>
          <w:p w14:paraId="73514478" w14:textId="77777777" w:rsidR="00F402FE" w:rsidRDefault="00F402FE" w:rsidP="007C49F3"/>
          <w:p w14:paraId="0FBCB3EC" w14:textId="77777777" w:rsidR="00F402FE" w:rsidRDefault="00F402FE" w:rsidP="007C49F3"/>
          <w:p w14:paraId="554F0FAB" w14:textId="77777777" w:rsidR="00F402FE" w:rsidRDefault="00F402FE" w:rsidP="007C49F3"/>
          <w:p w14:paraId="5518F008" w14:textId="77777777" w:rsidR="00F402FE" w:rsidRDefault="00F402FE" w:rsidP="007C49F3"/>
          <w:p w14:paraId="38BD45BD" w14:textId="77777777" w:rsidR="00F402FE" w:rsidRDefault="00F402FE" w:rsidP="007C49F3"/>
          <w:p w14:paraId="50292D8A" w14:textId="77777777" w:rsidR="00F402FE" w:rsidRDefault="00F402FE" w:rsidP="007C49F3"/>
          <w:p w14:paraId="56C4E4B8" w14:textId="77777777" w:rsidR="00F402FE" w:rsidRDefault="00F402FE" w:rsidP="007C49F3"/>
          <w:p w14:paraId="5A873BA9" w14:textId="77777777" w:rsidR="00F402FE" w:rsidRDefault="00F402FE" w:rsidP="007C49F3"/>
          <w:p w14:paraId="1108B3EA" w14:textId="77777777" w:rsidR="00F402FE" w:rsidRDefault="00F402FE" w:rsidP="007C49F3"/>
          <w:p w14:paraId="15EAD29B" w14:textId="77777777" w:rsidR="00F402FE" w:rsidRDefault="00F402FE" w:rsidP="007C49F3"/>
          <w:p w14:paraId="6C9E396E" w14:textId="77777777" w:rsidR="00F402FE" w:rsidRDefault="00F402FE" w:rsidP="007C49F3"/>
          <w:p w14:paraId="0D0E28DA" w14:textId="77777777" w:rsidR="00F402FE" w:rsidRDefault="00F402FE" w:rsidP="007C49F3"/>
          <w:p w14:paraId="7341D848" w14:textId="77777777" w:rsidR="00F402FE" w:rsidRDefault="00F402FE" w:rsidP="007C49F3"/>
          <w:p w14:paraId="40133EFD" w14:textId="77777777" w:rsidR="00F402FE" w:rsidRDefault="00F402FE" w:rsidP="007C49F3"/>
          <w:p w14:paraId="3D643AEA" w14:textId="77777777" w:rsidR="00F402FE" w:rsidRDefault="00F402FE" w:rsidP="007C49F3"/>
          <w:p w14:paraId="4934F607" w14:textId="77777777" w:rsidR="00F402FE" w:rsidRDefault="00F402FE" w:rsidP="007C49F3"/>
          <w:p w14:paraId="0FCF4E47" w14:textId="77777777" w:rsidR="00F402FE" w:rsidRDefault="00F402FE" w:rsidP="007C49F3"/>
          <w:p w14:paraId="1EFAA434" w14:textId="77777777" w:rsidR="00F402FE" w:rsidRDefault="00F402FE" w:rsidP="007C49F3"/>
          <w:p w14:paraId="107A3164" w14:textId="77777777" w:rsidR="00F402FE" w:rsidRDefault="00F402FE" w:rsidP="007C49F3"/>
          <w:p w14:paraId="3AC57C48" w14:textId="77777777" w:rsidR="00F402FE" w:rsidRDefault="00F402FE" w:rsidP="007C49F3"/>
          <w:p w14:paraId="453D9D6A" w14:textId="77777777" w:rsidR="00F402FE" w:rsidRDefault="00F402FE" w:rsidP="007C49F3"/>
          <w:p w14:paraId="1B92C2C9" w14:textId="67CCBB61" w:rsidR="00F402FE" w:rsidRDefault="00F402FE" w:rsidP="007C49F3">
            <w:r>
              <w:t>SO</w:t>
            </w:r>
          </w:p>
        </w:tc>
      </w:tr>
      <w:tr w:rsidR="00B61A0B" w14:paraId="4845727D" w14:textId="77777777" w:rsidTr="00071855">
        <w:trPr>
          <w:trHeight w:val="983"/>
        </w:trPr>
        <w:tc>
          <w:tcPr>
            <w:tcW w:w="2144" w:type="dxa"/>
          </w:tcPr>
          <w:p w14:paraId="5B19EF09" w14:textId="77777777" w:rsidR="00B61A0B" w:rsidRDefault="00B61A0B" w:rsidP="007C49F3"/>
          <w:p w14:paraId="6871AD14" w14:textId="0CF42535" w:rsidR="00B61A0B" w:rsidRPr="00ED2D2F" w:rsidRDefault="00B61A0B" w:rsidP="003D63F8">
            <w:pPr>
              <w:rPr>
                <w:b/>
              </w:rPr>
            </w:pPr>
            <w:r>
              <w:rPr>
                <w:b/>
              </w:rPr>
              <w:t>AOB</w:t>
            </w:r>
          </w:p>
        </w:tc>
        <w:tc>
          <w:tcPr>
            <w:tcW w:w="5442" w:type="dxa"/>
          </w:tcPr>
          <w:p w14:paraId="18AD83D8" w14:textId="77777777" w:rsidR="00B61A0B" w:rsidRDefault="00B61A0B" w:rsidP="002944EB"/>
          <w:p w14:paraId="1670A176" w14:textId="77777777" w:rsidR="00071855" w:rsidRDefault="00071855" w:rsidP="00071855">
            <w:r>
              <w:t>Practice Leaflet.  A draft had been circulated and PPG members invited to make comments.  A number were discussed at the meeting, and it was decided that each PPG member should email Debbie with their suggestions.</w:t>
            </w:r>
          </w:p>
          <w:p w14:paraId="5B824A12" w14:textId="77777777" w:rsidR="00071855" w:rsidRDefault="00071855" w:rsidP="00071855"/>
          <w:p w14:paraId="6034F8DB" w14:textId="77777777" w:rsidR="00071855" w:rsidRDefault="00071855" w:rsidP="00071855">
            <w:r>
              <w:t xml:space="preserve">Practice Survey – Debbie reported that the practice had reached </w:t>
            </w:r>
            <w:proofErr w:type="gramStart"/>
            <w:r>
              <w:t>it’s</w:t>
            </w:r>
            <w:proofErr w:type="gramEnd"/>
            <w:r>
              <w:t xml:space="preserve"> target and were now expecting the feedback.</w:t>
            </w:r>
          </w:p>
          <w:p w14:paraId="7075FE32" w14:textId="77777777" w:rsidR="00071855" w:rsidRDefault="00071855" w:rsidP="00071855"/>
          <w:p w14:paraId="6C09C9DB" w14:textId="7ECE5856" w:rsidR="00071855" w:rsidRDefault="00071855" w:rsidP="00071855">
            <w:r>
              <w:t xml:space="preserve">E-Consultations – </w:t>
            </w:r>
            <w:proofErr w:type="spellStart"/>
            <w:r>
              <w:t>Dr.</w:t>
            </w:r>
            <w:proofErr w:type="spellEnd"/>
            <w:r>
              <w:t xml:space="preserve"> </w:t>
            </w:r>
            <w:proofErr w:type="spellStart"/>
            <w:r>
              <w:t>Chandara</w:t>
            </w:r>
            <w:r w:rsidR="00E7151D">
              <w:t>n</w:t>
            </w:r>
            <w:r>
              <w:t>a</w:t>
            </w:r>
            <w:proofErr w:type="spellEnd"/>
            <w:r>
              <w:t xml:space="preserve"> would be </w:t>
            </w:r>
            <w:r>
              <w:lastRenderedPageBreak/>
              <w:t>attending a seminar on this subject and he would report back.</w:t>
            </w:r>
          </w:p>
        </w:tc>
        <w:tc>
          <w:tcPr>
            <w:tcW w:w="930" w:type="dxa"/>
          </w:tcPr>
          <w:p w14:paraId="35DC4298" w14:textId="77777777" w:rsidR="00B61A0B" w:rsidRDefault="00B61A0B" w:rsidP="007C49F3"/>
          <w:p w14:paraId="343D6A35" w14:textId="77777777" w:rsidR="00F402FE" w:rsidRDefault="00F402FE" w:rsidP="007C49F3"/>
          <w:p w14:paraId="3320314C" w14:textId="77777777" w:rsidR="00F402FE" w:rsidRDefault="00F402FE" w:rsidP="007C49F3"/>
          <w:p w14:paraId="750FF35E" w14:textId="77777777" w:rsidR="00F402FE" w:rsidRDefault="00F402FE" w:rsidP="007C49F3"/>
          <w:p w14:paraId="7FF85747" w14:textId="753941D7" w:rsidR="00F402FE" w:rsidRDefault="00F402FE" w:rsidP="007C49F3">
            <w:r>
              <w:t>ALL</w:t>
            </w:r>
          </w:p>
          <w:p w14:paraId="4E91BE7C" w14:textId="59A87962" w:rsidR="00B61A0B" w:rsidRDefault="00B61A0B" w:rsidP="007C49F3"/>
        </w:tc>
      </w:tr>
      <w:tr w:rsidR="00B61A0B" w14:paraId="2C1CE99C" w14:textId="77777777" w:rsidTr="00071855">
        <w:trPr>
          <w:trHeight w:val="983"/>
        </w:trPr>
        <w:tc>
          <w:tcPr>
            <w:tcW w:w="2144" w:type="dxa"/>
          </w:tcPr>
          <w:p w14:paraId="08F9AD7D" w14:textId="6B3BCEB6" w:rsidR="00B61A0B" w:rsidRDefault="00B61A0B" w:rsidP="00B2414D"/>
          <w:p w14:paraId="0CFD67C4" w14:textId="6D813E4B" w:rsidR="00B61A0B" w:rsidRPr="00ED2D2F" w:rsidRDefault="00B61A0B" w:rsidP="007C49F3">
            <w:pPr>
              <w:rPr>
                <w:b/>
              </w:rPr>
            </w:pPr>
            <w:r>
              <w:rPr>
                <w:b/>
              </w:rPr>
              <w:t>Date of next meeting</w:t>
            </w:r>
          </w:p>
        </w:tc>
        <w:tc>
          <w:tcPr>
            <w:tcW w:w="5442" w:type="dxa"/>
          </w:tcPr>
          <w:p w14:paraId="38B618A4" w14:textId="77777777" w:rsidR="00B61A0B" w:rsidRDefault="00B61A0B" w:rsidP="00174F36">
            <w:pPr>
              <w:rPr>
                <w:color w:val="17365D" w:themeColor="text2" w:themeShade="BF"/>
              </w:rPr>
            </w:pPr>
          </w:p>
          <w:p w14:paraId="7082761C" w14:textId="63639940" w:rsidR="00071855" w:rsidRPr="006D7190" w:rsidRDefault="00071855" w:rsidP="00174F3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12</w:t>
            </w:r>
            <w:r w:rsidRPr="00071855">
              <w:rPr>
                <w:color w:val="17365D" w:themeColor="text2" w:themeShade="BF"/>
                <w:vertAlign w:val="superscript"/>
              </w:rPr>
              <w:t>th</w:t>
            </w:r>
            <w:r>
              <w:rPr>
                <w:color w:val="17365D" w:themeColor="text2" w:themeShade="BF"/>
              </w:rPr>
              <w:t xml:space="preserve"> January 2020</w:t>
            </w:r>
          </w:p>
        </w:tc>
        <w:tc>
          <w:tcPr>
            <w:tcW w:w="930" w:type="dxa"/>
          </w:tcPr>
          <w:p w14:paraId="433FBB81" w14:textId="77777777" w:rsidR="00B61A0B" w:rsidRPr="006D7190" w:rsidRDefault="00B61A0B" w:rsidP="007C49F3">
            <w:pPr>
              <w:rPr>
                <w:color w:val="17365D" w:themeColor="text2" w:themeShade="BF"/>
              </w:rPr>
            </w:pPr>
          </w:p>
          <w:p w14:paraId="57F9FAF2" w14:textId="39B91AD3" w:rsidR="00B61A0B" w:rsidRPr="006D7190" w:rsidRDefault="00B61A0B" w:rsidP="007C49F3">
            <w:pPr>
              <w:rPr>
                <w:color w:val="17365D" w:themeColor="text2" w:themeShade="BF"/>
              </w:rPr>
            </w:pPr>
          </w:p>
        </w:tc>
      </w:tr>
      <w:tr w:rsidR="00071855" w14:paraId="2413429B" w14:textId="77777777" w:rsidTr="00071855">
        <w:trPr>
          <w:trHeight w:val="698"/>
        </w:trPr>
        <w:tc>
          <w:tcPr>
            <w:tcW w:w="2144" w:type="dxa"/>
          </w:tcPr>
          <w:p w14:paraId="5A5BFA42" w14:textId="11EEF4C0" w:rsidR="00071855" w:rsidRPr="00071855" w:rsidRDefault="00071855" w:rsidP="00B2414D">
            <w:pPr>
              <w:rPr>
                <w:b/>
              </w:rPr>
            </w:pPr>
            <w:r w:rsidRPr="00071855">
              <w:rPr>
                <w:b/>
              </w:rPr>
              <w:t>Date of Annual General Meeting</w:t>
            </w:r>
          </w:p>
        </w:tc>
        <w:tc>
          <w:tcPr>
            <w:tcW w:w="5442" w:type="dxa"/>
          </w:tcPr>
          <w:p w14:paraId="159C9C68" w14:textId="2D147DC7" w:rsidR="00071855" w:rsidRDefault="00071855" w:rsidP="00174F36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10</w:t>
            </w:r>
            <w:r w:rsidRPr="00071855">
              <w:rPr>
                <w:color w:val="17365D" w:themeColor="text2" w:themeShade="BF"/>
                <w:vertAlign w:val="superscript"/>
              </w:rPr>
              <w:t>th</w:t>
            </w:r>
            <w:r>
              <w:rPr>
                <w:color w:val="17365D" w:themeColor="text2" w:themeShade="BF"/>
              </w:rPr>
              <w:t xml:space="preserve"> February 2020 at 7pm at Bridge Cottage Surgery</w:t>
            </w:r>
          </w:p>
        </w:tc>
        <w:tc>
          <w:tcPr>
            <w:tcW w:w="930" w:type="dxa"/>
          </w:tcPr>
          <w:p w14:paraId="342900DF" w14:textId="77777777" w:rsidR="00071855" w:rsidRPr="006D7190" w:rsidRDefault="00071855" w:rsidP="007C49F3">
            <w:pPr>
              <w:rPr>
                <w:color w:val="17365D" w:themeColor="text2" w:themeShade="BF"/>
              </w:rPr>
            </w:pPr>
          </w:p>
        </w:tc>
      </w:tr>
    </w:tbl>
    <w:p w14:paraId="15005837" w14:textId="2D2AA732" w:rsidR="00D356BC" w:rsidRDefault="00D356BC"/>
    <w:sectPr w:rsidR="00D356BC" w:rsidSect="00DC7A24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D02D6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dy Nation">
    <w15:presenceInfo w15:providerId="Windows Live" w15:userId="a799f74e51269d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3AC"/>
    <w:rsid w:val="00002BD9"/>
    <w:rsid w:val="000663AA"/>
    <w:rsid w:val="00071855"/>
    <w:rsid w:val="000E4BB2"/>
    <w:rsid w:val="00110B4B"/>
    <w:rsid w:val="001321D1"/>
    <w:rsid w:val="00143B81"/>
    <w:rsid w:val="0016589C"/>
    <w:rsid w:val="00174F36"/>
    <w:rsid w:val="001835B0"/>
    <w:rsid w:val="00183CCF"/>
    <w:rsid w:val="001A579E"/>
    <w:rsid w:val="001C18B8"/>
    <w:rsid w:val="00210D0F"/>
    <w:rsid w:val="00214DA2"/>
    <w:rsid w:val="00215D31"/>
    <w:rsid w:val="002620FD"/>
    <w:rsid w:val="002944EB"/>
    <w:rsid w:val="002B179D"/>
    <w:rsid w:val="002C467D"/>
    <w:rsid w:val="00300294"/>
    <w:rsid w:val="0037072C"/>
    <w:rsid w:val="003A0BA8"/>
    <w:rsid w:val="003A4C31"/>
    <w:rsid w:val="003A54EE"/>
    <w:rsid w:val="003D1B44"/>
    <w:rsid w:val="003D63F8"/>
    <w:rsid w:val="00410B38"/>
    <w:rsid w:val="00461367"/>
    <w:rsid w:val="00473D05"/>
    <w:rsid w:val="00482A8B"/>
    <w:rsid w:val="00484B16"/>
    <w:rsid w:val="004C312D"/>
    <w:rsid w:val="004C7B90"/>
    <w:rsid w:val="004E41A3"/>
    <w:rsid w:val="004F398F"/>
    <w:rsid w:val="00561C55"/>
    <w:rsid w:val="005860AD"/>
    <w:rsid w:val="005863D6"/>
    <w:rsid w:val="005D111C"/>
    <w:rsid w:val="0060108E"/>
    <w:rsid w:val="00673B42"/>
    <w:rsid w:val="006D7190"/>
    <w:rsid w:val="00787730"/>
    <w:rsid w:val="007C49F3"/>
    <w:rsid w:val="007E09CE"/>
    <w:rsid w:val="007E0B0E"/>
    <w:rsid w:val="009153AC"/>
    <w:rsid w:val="0094017F"/>
    <w:rsid w:val="00945151"/>
    <w:rsid w:val="00950CDA"/>
    <w:rsid w:val="009D2B9A"/>
    <w:rsid w:val="00A62C9D"/>
    <w:rsid w:val="00A65012"/>
    <w:rsid w:val="00AC6DD2"/>
    <w:rsid w:val="00AF287C"/>
    <w:rsid w:val="00B2414D"/>
    <w:rsid w:val="00B61A0B"/>
    <w:rsid w:val="00B81BC3"/>
    <w:rsid w:val="00C2173A"/>
    <w:rsid w:val="00C352D0"/>
    <w:rsid w:val="00C421A0"/>
    <w:rsid w:val="00C8761E"/>
    <w:rsid w:val="00CC2005"/>
    <w:rsid w:val="00CE1863"/>
    <w:rsid w:val="00D15A73"/>
    <w:rsid w:val="00D356BC"/>
    <w:rsid w:val="00D573E5"/>
    <w:rsid w:val="00DC7A24"/>
    <w:rsid w:val="00E2258A"/>
    <w:rsid w:val="00E61832"/>
    <w:rsid w:val="00E655B4"/>
    <w:rsid w:val="00E7151D"/>
    <w:rsid w:val="00E73073"/>
    <w:rsid w:val="00E76BA1"/>
    <w:rsid w:val="00EB3BE2"/>
    <w:rsid w:val="00ED2D2F"/>
    <w:rsid w:val="00ED6C64"/>
    <w:rsid w:val="00F16EED"/>
    <w:rsid w:val="00F402FE"/>
    <w:rsid w:val="00F718D9"/>
    <w:rsid w:val="00FA1174"/>
    <w:rsid w:val="00FF0178"/>
    <w:rsid w:val="00FF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07E7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7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CC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9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F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15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79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83CCF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9F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9F3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352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52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52D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2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2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E6E98-9187-4650-B739-4B18AB8BD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745</Words>
  <Characters>4251</Characters>
  <Application>Microsoft Office Word</Application>
  <DocSecurity>4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Hertfordshire ICT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Skidmore</dc:creator>
  <cp:lastModifiedBy>NHSUser</cp:lastModifiedBy>
  <cp:revision>2</cp:revision>
  <dcterms:created xsi:type="dcterms:W3CDTF">2019-12-09T10:26:00Z</dcterms:created>
  <dcterms:modified xsi:type="dcterms:W3CDTF">2019-12-09T10:26:00Z</dcterms:modified>
</cp:coreProperties>
</file>